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54" w:rsidRDefault="007124CF" w:rsidP="000E3C54">
      <w:pPr>
        <w:keepNext/>
        <w:widowControl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E3C54" w:rsidRPr="007F617F" w:rsidRDefault="000E3C54" w:rsidP="000E3C54">
      <w:pPr>
        <w:keepNext/>
        <w:widowControl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E3C54" w:rsidRPr="000E3C54" w:rsidRDefault="000E3C54" w:rsidP="000E3C5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  <w:r w:rsidRPr="000E3C5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</w:p>
    <w:p w:rsidR="000E3C54" w:rsidRDefault="000E3C54" w:rsidP="000E3C54">
      <w:pPr>
        <w:keepNext/>
        <w:widowControl w:val="0"/>
        <w:tabs>
          <w:tab w:val="left" w:pos="7513"/>
        </w:tabs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  <w:r w:rsidRPr="000E3C54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Утверждено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</w:t>
      </w:r>
    </w:p>
    <w:p w:rsidR="000E3C54" w:rsidRDefault="000E3C54" w:rsidP="000E3C54">
      <w:pPr>
        <w:keepNext/>
        <w:widowControl w:val="0"/>
        <w:tabs>
          <w:tab w:val="left" w:pos="7513"/>
        </w:tabs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Pr="000E3C54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решением Думы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</w:t>
      </w:r>
    </w:p>
    <w:p w:rsidR="000E3C54" w:rsidRPr="000E3C54" w:rsidRDefault="000E3C54" w:rsidP="000E3C54">
      <w:pPr>
        <w:keepNext/>
        <w:widowControl w:val="0"/>
        <w:tabs>
          <w:tab w:val="left" w:pos="7513"/>
        </w:tabs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 w:rsidRPr="000E3C54">
        <w:rPr>
          <w:rFonts w:ascii="Times New Roman" w:eastAsia="Times New Roman" w:hAnsi="Times New Roman"/>
          <w:sz w:val="26"/>
          <w:szCs w:val="26"/>
          <w:lang w:eastAsia="ru-RU"/>
        </w:rPr>
        <w:t>Михайловского</w:t>
      </w:r>
    </w:p>
    <w:p w:rsidR="000E3C54" w:rsidRPr="000E3C54" w:rsidRDefault="000E3C54" w:rsidP="000E3C54">
      <w:pPr>
        <w:keepNext/>
        <w:widowControl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C5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:rsidR="000E3C54" w:rsidRPr="000E3C54" w:rsidRDefault="000E3C54" w:rsidP="000E3C54">
      <w:pPr>
        <w:keepNext/>
        <w:widowControl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______2016</w:t>
      </w:r>
      <w:r w:rsidRPr="000E3C54">
        <w:rPr>
          <w:rFonts w:ascii="Times New Roman" w:eastAsia="Times New Roman" w:hAnsi="Times New Roman"/>
          <w:sz w:val="26"/>
          <w:szCs w:val="26"/>
          <w:lang w:eastAsia="ru-RU"/>
        </w:rPr>
        <w:t xml:space="preserve"> №____</w:t>
      </w:r>
    </w:p>
    <w:p w:rsidR="000E3C54" w:rsidRDefault="000E3C54" w:rsidP="000E3C54">
      <w:pPr>
        <w:pStyle w:val="a4"/>
        <w:jc w:val="right"/>
      </w:pPr>
    </w:p>
    <w:p w:rsidR="000E3C54" w:rsidRDefault="000E3C54" w:rsidP="000E3C54">
      <w:pPr>
        <w:pStyle w:val="a4"/>
      </w:pPr>
    </w:p>
    <w:p w:rsidR="000E3C54" w:rsidRDefault="007124CF" w:rsidP="000E3C54">
      <w:pPr>
        <w:pStyle w:val="a4"/>
        <w:jc w:val="center"/>
      </w:pPr>
      <w:r>
        <w:rPr>
          <w:rStyle w:val="a5"/>
          <w:color w:val="000000"/>
        </w:rPr>
        <w:t xml:space="preserve"> ПОЛОЖЕНИЕ</w:t>
      </w:r>
    </w:p>
    <w:p w:rsidR="000E3C54" w:rsidRDefault="000E3C54" w:rsidP="000E3C54">
      <w:pPr>
        <w:pStyle w:val="a4"/>
        <w:jc w:val="center"/>
      </w:pPr>
      <w:r>
        <w:rPr>
          <w:rStyle w:val="a5"/>
          <w:color w:val="000000"/>
        </w:rPr>
        <w:t>О ПОРЯДКЕ ПРОДАЖИ ЖИЛЫХ ПОМЕЩЕНИЙ МУНИЦИПАЛЬНОГО</w:t>
      </w:r>
    </w:p>
    <w:p w:rsidR="000E3C54" w:rsidRDefault="000E3C54" w:rsidP="000E3C54">
      <w:pPr>
        <w:pStyle w:val="a4"/>
        <w:jc w:val="center"/>
      </w:pPr>
      <w:r>
        <w:rPr>
          <w:rStyle w:val="a5"/>
          <w:color w:val="000000"/>
        </w:rPr>
        <w:t>ЖИЛИЩНОГО ФОНДА</w:t>
      </w:r>
    </w:p>
    <w:p w:rsidR="000E3C54" w:rsidRDefault="000E3C54" w:rsidP="000E3C54">
      <w:pPr>
        <w:pStyle w:val="a4"/>
        <w:jc w:val="center"/>
      </w:pPr>
      <w:r>
        <w:rPr>
          <w:rStyle w:val="a5"/>
          <w:color w:val="000000"/>
        </w:rPr>
        <w:t> </w:t>
      </w:r>
    </w:p>
    <w:p w:rsidR="000E3C54" w:rsidRDefault="000E3C54" w:rsidP="000E3C54">
      <w:pPr>
        <w:pStyle w:val="a4"/>
        <w:jc w:val="center"/>
      </w:pPr>
      <w:r>
        <w:rPr>
          <w:rStyle w:val="a5"/>
          <w:color w:val="000000"/>
        </w:rPr>
        <w:t>1. Общие положения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1.1. Настоящее Положение устанавливает порядок и условия п</w:t>
      </w:r>
      <w:r w:rsidR="007124CF">
        <w:rPr>
          <w:color w:val="000000"/>
        </w:rPr>
        <w:t xml:space="preserve">родажи  </w:t>
      </w:r>
      <w:r>
        <w:rPr>
          <w:color w:val="000000"/>
        </w:rPr>
        <w:t>юридически</w:t>
      </w:r>
      <w:r w:rsidR="007124CF">
        <w:rPr>
          <w:color w:val="000000"/>
        </w:rPr>
        <w:t>м</w:t>
      </w:r>
      <w:r>
        <w:rPr>
          <w:color w:val="000000"/>
        </w:rPr>
        <w:t xml:space="preserve"> и физически</w:t>
      </w:r>
      <w:r w:rsidR="007124CF">
        <w:rPr>
          <w:color w:val="000000"/>
        </w:rPr>
        <w:t>м лицам</w:t>
      </w:r>
      <w:r>
        <w:rPr>
          <w:color w:val="000000"/>
        </w:rPr>
        <w:t xml:space="preserve"> муниципальных жилых помещений, расположенных в домах муниципального жилищного фонда, в жилых домах, где имеются жилые помещения, находящиеся в муниципальной собственности Михайловского муниципального района.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1.2.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и другими нормативными правовыми актами Российской Федерации.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 xml:space="preserve">1.3. В соответствии с настоящим Положением могут быть проданы жилые помещения, указанные в </w:t>
      </w:r>
      <w:hyperlink r:id="rId5" w:anchor="Par41" w:history="1">
        <w:r>
          <w:rPr>
            <w:rStyle w:val="a3"/>
          </w:rPr>
          <w:t>п. 1.4</w:t>
        </w:r>
      </w:hyperlink>
      <w:r>
        <w:rPr>
          <w:color w:val="000000"/>
        </w:rPr>
        <w:t xml:space="preserve">, предназначенные для постоянного проживания, </w:t>
      </w:r>
      <w:r w:rsidR="003610AC">
        <w:rPr>
          <w:color w:val="000000"/>
        </w:rPr>
        <w:t>находящиеся в</w:t>
      </w:r>
      <w:r>
        <w:rPr>
          <w:color w:val="000000"/>
        </w:rPr>
        <w:t xml:space="preserve"> муниципальной собственности, за исключением: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а) в установленном порядке признанные непригодными для постоянного проживания;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б) в установленном порядке признанные аварийными;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в) в домах специализированного жилищного фонда.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 xml:space="preserve">1.4. Решение о продаже жилых помещений муниципального жилищного фонда </w:t>
      </w:r>
      <w:r w:rsidR="007124CF">
        <w:rPr>
          <w:color w:val="000000"/>
        </w:rPr>
        <w:t xml:space="preserve">принимается </w:t>
      </w:r>
      <w:r>
        <w:rPr>
          <w:color w:val="000000"/>
        </w:rPr>
        <w:t>администрацией Михайловского муниципального района в отношении:</w:t>
      </w:r>
    </w:p>
    <w:p w:rsidR="000E3C54" w:rsidRDefault="000E3C54" w:rsidP="000E3C54">
      <w:pPr>
        <w:pStyle w:val="a4"/>
        <w:jc w:val="both"/>
        <w:rPr>
          <w:color w:val="000000"/>
        </w:rPr>
      </w:pPr>
      <w:r>
        <w:rPr>
          <w:color w:val="000000"/>
        </w:rPr>
        <w:t xml:space="preserve">1) жилых помещений муниципального жилищного фонда, которые в силу своего технического состояния не могут быть предоставлены гражданам, нуждающимся в улучшении жилищных условий, по договорам социального найма в качестве благоустроенных жилых помещений. Порядок продажи указанных жилых помещений установлен </w:t>
      </w:r>
      <w:hyperlink r:id="rId6" w:anchor="Par64" w:history="1">
        <w:r>
          <w:rPr>
            <w:rStyle w:val="a3"/>
          </w:rPr>
          <w:t xml:space="preserve">разделом </w:t>
        </w:r>
      </w:hyperlink>
      <w:r>
        <w:rPr>
          <w:color w:val="000000"/>
        </w:rPr>
        <w:t>2 настоящего Положения.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lastRenderedPageBreak/>
        <w:t xml:space="preserve">1.5. </w:t>
      </w:r>
      <w:r w:rsidR="007F6CEC" w:rsidRPr="001415AB">
        <w:t xml:space="preserve">Средства от </w:t>
      </w:r>
      <w:r w:rsidR="007F6CEC">
        <w:rPr>
          <w:color w:val="000000"/>
        </w:rPr>
        <w:t>продаж</w:t>
      </w:r>
      <w:r w:rsidR="007124CF">
        <w:rPr>
          <w:color w:val="000000"/>
        </w:rPr>
        <w:t>и</w:t>
      </w:r>
      <w:r w:rsidR="007F6CEC">
        <w:rPr>
          <w:color w:val="000000"/>
        </w:rPr>
        <w:t xml:space="preserve"> жилых помещений муниципального жилищного фонда </w:t>
      </w:r>
      <w:r w:rsidR="007F6CEC" w:rsidRPr="001415AB">
        <w:t xml:space="preserve">направляются в бюджет </w:t>
      </w:r>
      <w:r w:rsidR="00E23A58">
        <w:t>Михайловского муниципального района</w:t>
      </w:r>
      <w:r w:rsidR="007F6CEC" w:rsidRPr="001415AB">
        <w:t xml:space="preserve"> в соответствии с законодательством.</w:t>
      </w:r>
    </w:p>
    <w:p w:rsidR="000E3C54" w:rsidRDefault="000E3C54" w:rsidP="000E3C54">
      <w:pPr>
        <w:pStyle w:val="a4"/>
        <w:jc w:val="center"/>
      </w:pPr>
      <w:r>
        <w:rPr>
          <w:color w:val="000000"/>
        </w:rPr>
        <w:t> </w:t>
      </w:r>
    </w:p>
    <w:p w:rsidR="000E3C54" w:rsidRDefault="000E3C54" w:rsidP="000E3C54">
      <w:pPr>
        <w:pStyle w:val="a4"/>
        <w:jc w:val="center"/>
      </w:pPr>
      <w:r>
        <w:rPr>
          <w:rStyle w:val="a5"/>
          <w:color w:val="000000"/>
        </w:rPr>
        <w:t>2. Порядок продажи жилых помещений на аукционе</w:t>
      </w:r>
    </w:p>
    <w:p w:rsidR="000E3C54" w:rsidRDefault="000E3C54" w:rsidP="000E3C54">
      <w:pPr>
        <w:pStyle w:val="a4"/>
        <w:jc w:val="both"/>
        <w:rPr>
          <w:color w:val="000000"/>
        </w:rPr>
      </w:pPr>
      <w:r>
        <w:rPr>
          <w:color w:val="000000"/>
        </w:rPr>
        <w:t xml:space="preserve">2.1. Отчуждение жилых помещений муниципальной собственности </w:t>
      </w:r>
      <w:r w:rsidR="003610AC">
        <w:rPr>
          <w:color w:val="000000"/>
        </w:rPr>
        <w:t xml:space="preserve">Михайловского муниципального района </w:t>
      </w:r>
      <w:r w:rsidR="007124CF">
        <w:rPr>
          <w:color w:val="000000"/>
        </w:rPr>
        <w:t>осуществляется</w:t>
      </w:r>
      <w:r>
        <w:rPr>
          <w:color w:val="000000"/>
        </w:rPr>
        <w:t xml:space="preserve"> путем продажи на торгах (аукционе).</w:t>
      </w:r>
    </w:p>
    <w:p w:rsidR="00E23A58" w:rsidRDefault="00E23A58" w:rsidP="000E3C54">
      <w:pPr>
        <w:pStyle w:val="a4"/>
        <w:jc w:val="both"/>
      </w:pPr>
      <w:r>
        <w:rPr>
          <w:color w:val="000000"/>
        </w:rPr>
        <w:t xml:space="preserve">2.2. </w:t>
      </w:r>
      <w:r>
        <w:t xml:space="preserve">Порядок проведения и оформления результатов аукциона осуществляется в соответствии с Положением об организации продажи государственного или муниципального имущества на аукционе, утвержденным </w:t>
      </w:r>
      <w:hyperlink r:id="rId7" w:history="1">
        <w:r>
          <w:rPr>
            <w:rStyle w:val="a3"/>
          </w:rPr>
          <w:t>постановлением Правительства Российской Федерации от 12.08.2002 № 585</w:t>
        </w:r>
      </w:hyperlink>
      <w:r w:rsidR="003610AC"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</w:t>
      </w:r>
      <w:r w:rsidR="005F26EF">
        <w:t>или муниципальной собственности акций открытых акционерных обществ на специализированном аукционе».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2.</w:t>
      </w:r>
      <w:r w:rsidR="00E23A58">
        <w:rPr>
          <w:color w:val="000000"/>
        </w:rPr>
        <w:t>3</w:t>
      </w:r>
      <w:r>
        <w:rPr>
          <w:color w:val="000000"/>
        </w:rPr>
        <w:t>. Продавцом муниципальных жилых пом</w:t>
      </w:r>
      <w:r w:rsidR="00E23A58">
        <w:rPr>
          <w:color w:val="000000"/>
        </w:rPr>
        <w:t>ещений выступает администрация Михайловского муниципального</w:t>
      </w:r>
      <w:r>
        <w:rPr>
          <w:color w:val="000000"/>
        </w:rPr>
        <w:t xml:space="preserve"> района </w:t>
      </w:r>
      <w:r w:rsidR="00E23A58">
        <w:rPr>
          <w:color w:val="000000"/>
        </w:rPr>
        <w:t xml:space="preserve">(далее — Продавец). </w:t>
      </w:r>
      <w:r>
        <w:rPr>
          <w:color w:val="000000"/>
        </w:rPr>
        <w:t xml:space="preserve">Подготовку документов к проведению аукциона по продаже жилого помещения осуществляет Комиссия по продаже муниципального имущества, созданная администрацией </w:t>
      </w:r>
      <w:r w:rsidR="00E23A58">
        <w:rPr>
          <w:color w:val="000000"/>
        </w:rPr>
        <w:t>Михайловского муниципального района</w:t>
      </w:r>
      <w:r>
        <w:rPr>
          <w:color w:val="000000"/>
        </w:rPr>
        <w:t>. Решение о продаже жилых помещений на аукционе принимается Продавцом в соответствии со следующими условиями: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форма проведения торгов — аукцион, открытый по составу участников и форме подачи предложений о цене.</w:t>
      </w:r>
    </w:p>
    <w:p w:rsidR="000E3C54" w:rsidRDefault="00E23A58" w:rsidP="000E3C54">
      <w:pPr>
        <w:pStyle w:val="a4"/>
        <w:jc w:val="both"/>
      </w:pPr>
      <w:r>
        <w:rPr>
          <w:color w:val="000000"/>
        </w:rPr>
        <w:t>2.4</w:t>
      </w:r>
      <w:r w:rsidR="000E3C54">
        <w:rPr>
          <w:color w:val="000000"/>
        </w:rPr>
        <w:t>. К участию в аукционе допускаются физические и юридические лица, уплатившие на расчетный счет Продавца задаток и своевременно представившие следующие документы: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заявку на участие в аукционе;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платежное поручение с отметкой банка об исполнении, подтверждающее внесение претендентом установленной суммы задатка в счет обеспечения приобретаемого на аукционе жилого помещения.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Физические лица дополнительно предъявляют: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документ, удостоверяющий личность;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нотариально удостоверенное согласие супруга (супруги) на приобретение жилого помещения.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Юридические лица дополнительно представляют: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заверенные копии учредительных документов;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свидетельства о государственной регистрации;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документы, подтверждающие наличие или отсутствие в уставном капитале юридического лица доли Российской Федерации, субъектов Российской Федерации, муниципальных образований;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lastRenderedPageBreak/>
        <w:t>- письменное решение соответствующего органа управления юридического лица, разрешающее приобретение имущества, если это необходимо в соответствии с учредительными документами юридического лица и законодательством страны, в которой зарегистрировано юридическое лицо.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2.</w:t>
      </w:r>
      <w:r w:rsidR="00E23A58">
        <w:rPr>
          <w:color w:val="000000"/>
        </w:rPr>
        <w:t>5</w:t>
      </w:r>
      <w:r>
        <w:rPr>
          <w:color w:val="000000"/>
        </w:rPr>
        <w:t xml:space="preserve">. Администрация </w:t>
      </w:r>
      <w:r w:rsidR="00E23A58">
        <w:rPr>
          <w:color w:val="000000"/>
        </w:rPr>
        <w:t>Михайловского муниципального района</w:t>
      </w:r>
      <w:r>
        <w:rPr>
          <w:color w:val="000000"/>
        </w:rPr>
        <w:t xml:space="preserve"> обеспечивает в порядке, установленном Федеральным </w:t>
      </w:r>
      <w:hyperlink r:id="rId8" w:history="1">
        <w:r>
          <w:rPr>
            <w:rStyle w:val="a3"/>
          </w:rPr>
          <w:t>законом</w:t>
        </w:r>
      </w:hyperlink>
      <w:r>
        <w:rPr>
          <w:color w:val="000000"/>
        </w:rPr>
        <w:t xml:space="preserve"> от 29.07.1998 N 135-ФЗ «Об оценочной деятельности в Российской Федерации», проведение оценки рыночной стоимости жилых помещений, подлежащих отчуждению.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2.</w:t>
      </w:r>
      <w:r w:rsidR="00E23A58">
        <w:rPr>
          <w:color w:val="000000"/>
        </w:rPr>
        <w:t>6</w:t>
      </w:r>
      <w:r>
        <w:rPr>
          <w:color w:val="000000"/>
        </w:rPr>
        <w:t>. Начальная цена жилого помещения, выставляемого на продажу на аукционе, уста</w:t>
      </w:r>
      <w:r w:rsidR="00105E58">
        <w:rPr>
          <w:color w:val="000000"/>
        </w:rPr>
        <w:t xml:space="preserve">навливается не ниже </w:t>
      </w:r>
      <w:r>
        <w:rPr>
          <w:color w:val="000000"/>
        </w:rPr>
        <w:t>стоимости, установленной независимой оценкой, производимой в соответствии с законодательством Российской Федерации.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2.</w:t>
      </w:r>
      <w:r w:rsidR="00E23A58">
        <w:rPr>
          <w:color w:val="000000"/>
        </w:rPr>
        <w:t>7</w:t>
      </w:r>
      <w:r>
        <w:rPr>
          <w:color w:val="000000"/>
        </w:rPr>
        <w:t xml:space="preserve">. Проведение аукциона осуществляет Комиссия по проведению аукционов по продаже муниципального имущества, созданная администрацией </w:t>
      </w:r>
      <w:r w:rsidR="00E23A58">
        <w:rPr>
          <w:color w:val="000000"/>
        </w:rPr>
        <w:t>Михайловского муниципального района</w:t>
      </w:r>
      <w:r>
        <w:rPr>
          <w:color w:val="000000"/>
        </w:rPr>
        <w:t>. Аукционист назначается из состава Комиссии по проведению аукционов по продаже муниципального имущества перед началом проведения аукциона.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2.</w:t>
      </w:r>
      <w:r w:rsidR="00E23A58">
        <w:rPr>
          <w:color w:val="000000"/>
        </w:rPr>
        <w:t>8</w:t>
      </w:r>
      <w:r>
        <w:rPr>
          <w:color w:val="000000"/>
        </w:rPr>
        <w:t>. Информационное сообщение должно содержать следующие сведения: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наименование органа местного самоуправления, принявшего решение о продаже жилого помещения;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наименование жилого помещения и его характеристика;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начальная цена жилого помещения;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форма подачи предложений о цене;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условия и сроки платежа, необходимые реквизиты счетов;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порядок, место, дата начала и окончания подачи заявок (предложений);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перечень представляемых претендентами документов и требования к их оформлению;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порядок и срок ознакомления претендентов с жилыми помещениями;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порядок определения победителя аукциона;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размер, срок и порядок внесения задатка, реквизиты счета для внесения задатка;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величина повышения начальной цены жилого помещения («шаг аукциона»);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место, дата, время проведения аукциона;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- срок, в течение которого победитель аукциона должен подписать договор купли-продажи.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2.</w:t>
      </w:r>
      <w:r w:rsidR="00786DB7">
        <w:rPr>
          <w:color w:val="000000"/>
        </w:rPr>
        <w:t>9</w:t>
      </w:r>
      <w:r>
        <w:rPr>
          <w:color w:val="000000"/>
        </w:rPr>
        <w:t>. Информационное сообщение о проведении торгов публикуется в официальных средствах массовой информации. Дата проведения аукциона — не ранее чем через тридцать дней после даты, следующей за датой публикации информационного сообщения.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lastRenderedPageBreak/>
        <w:t>Прием заявок на участие в аукционе осуществляется не менее 25 дней со дня опубликования информационного сообщения.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Задаток для участия в аукционе — 10% от начальной цены объекта.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Шаг аукциона — 5% от начальной цены объекта.</w:t>
      </w:r>
    </w:p>
    <w:p w:rsidR="000E3C54" w:rsidRDefault="00786DB7" w:rsidP="000E3C54">
      <w:pPr>
        <w:pStyle w:val="a4"/>
        <w:jc w:val="both"/>
      </w:pPr>
      <w:r>
        <w:rPr>
          <w:color w:val="000000"/>
        </w:rPr>
        <w:t>2.10</w:t>
      </w:r>
      <w:r w:rsidR="000E3C54">
        <w:rPr>
          <w:color w:val="000000"/>
        </w:rPr>
        <w:t xml:space="preserve">. Договор купли-продажи жилого помещения заключается в соответствии с Гражданским </w:t>
      </w:r>
      <w:hyperlink r:id="rId9" w:history="1">
        <w:r w:rsidR="000E3C54">
          <w:rPr>
            <w:rStyle w:val="a3"/>
          </w:rPr>
          <w:t>кодексом</w:t>
        </w:r>
      </w:hyperlink>
      <w:r w:rsidR="000E3C54">
        <w:rPr>
          <w:color w:val="000000"/>
        </w:rPr>
        <w:t xml:space="preserve"> Российской Федерации в срок не позднее 10 календарных дней со дня подписания протокола об итогах аукциона.</w:t>
      </w:r>
    </w:p>
    <w:p w:rsidR="000E3C54" w:rsidRDefault="000E3C54" w:rsidP="000E3C54">
      <w:pPr>
        <w:pStyle w:val="a4"/>
        <w:jc w:val="both"/>
      </w:pPr>
      <w:r>
        <w:rPr>
          <w:color w:val="000000"/>
        </w:rPr>
        <w:t>Оплата по договору купли-продажи производится в течение 30 календарных дней со дня его заключения.</w:t>
      </w:r>
    </w:p>
    <w:p w:rsidR="000E3C54" w:rsidRDefault="000E3C54" w:rsidP="000E3C54">
      <w:pPr>
        <w:pStyle w:val="a4"/>
        <w:jc w:val="both"/>
        <w:rPr>
          <w:color w:val="000000"/>
        </w:rPr>
      </w:pPr>
      <w:r>
        <w:rPr>
          <w:color w:val="000000"/>
        </w:rPr>
        <w:t>Сумма внесенного задатка засчитывается в счет исполнения обязательств по заключенному договору.</w:t>
      </w:r>
    </w:p>
    <w:p w:rsidR="00105E58" w:rsidRDefault="00105E58" w:rsidP="000E3C54">
      <w:pPr>
        <w:pStyle w:val="a4"/>
        <w:jc w:val="both"/>
        <w:rPr>
          <w:color w:val="000000"/>
        </w:rPr>
      </w:pPr>
      <w:r>
        <w:rPr>
          <w:color w:val="000000"/>
        </w:rPr>
        <w:t>2.11. Сумма задатка участникам, не выигравшим аукцион, возвращаются Продавцом в тече</w:t>
      </w:r>
      <w:r w:rsidR="007124CF">
        <w:rPr>
          <w:color w:val="000000"/>
        </w:rPr>
        <w:t>нии пяти дней с момента подписан</w:t>
      </w:r>
      <w:r>
        <w:rPr>
          <w:color w:val="000000"/>
        </w:rPr>
        <w:t>ия протокола о результатах аукциона по продаже жилых помещений.</w:t>
      </w:r>
    </w:p>
    <w:p w:rsidR="00105E58" w:rsidRDefault="00105E58" w:rsidP="000E3C54">
      <w:pPr>
        <w:pStyle w:val="a4"/>
        <w:jc w:val="both"/>
      </w:pPr>
      <w:r>
        <w:rPr>
          <w:color w:val="000000"/>
        </w:rPr>
        <w:t>2.12. Все споры, возникающие при заключении или исполнении договоров купли-продажи, решаются в судебном порядке.</w:t>
      </w:r>
    </w:p>
    <w:p w:rsidR="000E3C54" w:rsidRDefault="00105E58" w:rsidP="000E3C54">
      <w:pPr>
        <w:pStyle w:val="a4"/>
        <w:jc w:val="both"/>
      </w:pPr>
      <w:r>
        <w:rPr>
          <w:color w:val="000000"/>
        </w:rPr>
        <w:t>2.13</w:t>
      </w:r>
      <w:r w:rsidR="000E3C54">
        <w:rPr>
          <w:color w:val="000000"/>
        </w:rPr>
        <w:t>. Лицо, выигравшее торги и уклонившееся от подписания договора купли-продажи или от уплаты стоимости объекта по договору купли-продажи в установленный срок, утрачивает внесенный им задаток.</w:t>
      </w:r>
    </w:p>
    <w:p w:rsidR="000E3C54" w:rsidRDefault="000E3C54" w:rsidP="000E3C54">
      <w:pPr>
        <w:pStyle w:val="a4"/>
        <w:jc w:val="both"/>
        <w:rPr>
          <w:color w:val="000000"/>
        </w:rPr>
      </w:pPr>
      <w:r>
        <w:rPr>
          <w:color w:val="000000"/>
        </w:rPr>
        <w:t>2.1</w:t>
      </w:r>
      <w:r w:rsidR="00105E58">
        <w:rPr>
          <w:color w:val="000000"/>
        </w:rPr>
        <w:t>4</w:t>
      </w:r>
      <w:r>
        <w:rPr>
          <w:color w:val="000000"/>
        </w:rPr>
        <w:t>. Торги, в которых принял участие только один участник, признаются несостоявшимися. С единственным участником в случае признания аукциона несостоявшимся заключается договор купли-продажи по начальной цене продажи жилого помещения.</w:t>
      </w:r>
    </w:p>
    <w:p w:rsidR="007124CF" w:rsidRDefault="00646C08" w:rsidP="000E3C54">
      <w:pPr>
        <w:pStyle w:val="a4"/>
        <w:jc w:val="both"/>
        <w:rPr>
          <w:color w:val="000000"/>
        </w:rPr>
      </w:pPr>
      <w:r w:rsidRPr="007124CF">
        <w:rPr>
          <w:color w:val="000000"/>
        </w:rPr>
        <w:t>2.1</w:t>
      </w:r>
      <w:r w:rsidR="00105E58" w:rsidRPr="007124CF">
        <w:rPr>
          <w:color w:val="000000"/>
        </w:rPr>
        <w:t>5</w:t>
      </w:r>
      <w:r w:rsidRPr="007124CF">
        <w:rPr>
          <w:color w:val="000000"/>
        </w:rPr>
        <w:t>. Покупателям</w:t>
      </w:r>
      <w:r w:rsidR="003610AC" w:rsidRPr="007124CF">
        <w:rPr>
          <w:color w:val="000000"/>
        </w:rPr>
        <w:t>,</w:t>
      </w:r>
      <w:r w:rsidRPr="007124CF">
        <w:rPr>
          <w:color w:val="000000"/>
        </w:rPr>
        <w:t xml:space="preserve"> относящимся </w:t>
      </w:r>
      <w:r w:rsidR="005F26EF" w:rsidRPr="007124CF">
        <w:rPr>
          <w:color w:val="000000"/>
        </w:rPr>
        <w:t xml:space="preserve">в соответствии с законодательством </w:t>
      </w:r>
      <w:r w:rsidRPr="007124CF">
        <w:rPr>
          <w:color w:val="000000"/>
        </w:rPr>
        <w:t xml:space="preserve">к льготной категории граждан, </w:t>
      </w:r>
      <w:r w:rsidR="003610AC" w:rsidRPr="007124CF">
        <w:rPr>
          <w:color w:val="000000"/>
        </w:rPr>
        <w:t>по их заявлению предоставляется рассрочка оплаты стоимости жилого п</w:t>
      </w:r>
      <w:r w:rsidR="007124CF">
        <w:rPr>
          <w:color w:val="000000"/>
        </w:rPr>
        <w:t>омещения на срок не более 3 лет, в соответствии с Порядком предоставления рассрочки платежа на оплату стоимости жилого помещения.</w:t>
      </w:r>
    </w:p>
    <w:p w:rsidR="00646C08" w:rsidRPr="007124CF" w:rsidRDefault="007124CF" w:rsidP="000E3C54">
      <w:pPr>
        <w:pStyle w:val="a4"/>
        <w:jc w:val="both"/>
        <w:rPr>
          <w:color w:val="000000"/>
        </w:rPr>
      </w:pPr>
      <w:r>
        <w:rPr>
          <w:color w:val="000000"/>
        </w:rPr>
        <w:t>Порядок предоставления</w:t>
      </w:r>
      <w:r w:rsidR="003610AC" w:rsidRPr="007124CF">
        <w:rPr>
          <w:color w:val="000000"/>
        </w:rPr>
        <w:t xml:space="preserve"> рассрочки оплаты стоимости жилого помещения </w:t>
      </w:r>
      <w:r>
        <w:rPr>
          <w:color w:val="000000"/>
        </w:rPr>
        <w:t>устанавливается  правовым</w:t>
      </w:r>
      <w:r w:rsidR="003610AC" w:rsidRPr="007124CF">
        <w:rPr>
          <w:color w:val="000000"/>
        </w:rPr>
        <w:t xml:space="preserve"> акт</w:t>
      </w:r>
      <w:r>
        <w:rPr>
          <w:color w:val="000000"/>
        </w:rPr>
        <w:t xml:space="preserve">ом Думы </w:t>
      </w:r>
      <w:r w:rsidR="003610AC" w:rsidRPr="007124CF">
        <w:rPr>
          <w:color w:val="000000"/>
        </w:rPr>
        <w:t xml:space="preserve"> Михайловского муниципального р</w:t>
      </w:r>
      <w:r>
        <w:rPr>
          <w:color w:val="000000"/>
        </w:rPr>
        <w:t>айона</w:t>
      </w:r>
      <w:r w:rsidR="003610AC" w:rsidRPr="007124CF">
        <w:rPr>
          <w:color w:val="000000"/>
        </w:rPr>
        <w:t>.</w:t>
      </w:r>
      <w:r w:rsidR="00646C08">
        <w:rPr>
          <w:color w:val="000000"/>
        </w:rPr>
        <w:t xml:space="preserve"> </w:t>
      </w:r>
    </w:p>
    <w:p w:rsidR="000E3C54" w:rsidRDefault="000E3C54" w:rsidP="000E3C54">
      <w:pPr>
        <w:pStyle w:val="a4"/>
      </w:pPr>
      <w:r>
        <w:rPr>
          <w:color w:val="000000"/>
        </w:rPr>
        <w:t> </w:t>
      </w:r>
    </w:p>
    <w:p w:rsidR="000E3C54" w:rsidRDefault="000E3C54" w:rsidP="000E3C54">
      <w:pPr>
        <w:pStyle w:val="a4"/>
        <w:jc w:val="center"/>
      </w:pPr>
      <w:r>
        <w:rPr>
          <w:rStyle w:val="a5"/>
          <w:color w:val="000000"/>
        </w:rPr>
        <w:t>3. Заключительные положения</w:t>
      </w:r>
    </w:p>
    <w:p w:rsidR="000E3C54" w:rsidRDefault="000E3C54" w:rsidP="000E3C54">
      <w:pPr>
        <w:pStyle w:val="a4"/>
      </w:pPr>
      <w:r>
        <w:rPr>
          <w:color w:val="000000"/>
        </w:rPr>
        <w:t>3.1. Расходы по регистрации договоров купли-продажи жилого помещения возлагаются на покупателя.</w:t>
      </w:r>
    </w:p>
    <w:p w:rsidR="000E3C54" w:rsidRDefault="000E3C54" w:rsidP="000E3C54">
      <w:pPr>
        <w:pStyle w:val="a4"/>
      </w:pPr>
      <w:r>
        <w:rPr>
          <w:color w:val="000000"/>
        </w:rPr>
        <w:t>3.2. Заселение жилого помещения, приобретенного в соответствии с настоящим Положением, производится на основании документов, удостоверяющих право собственности.</w:t>
      </w:r>
    </w:p>
    <w:p w:rsidR="000E3C54" w:rsidRDefault="000E3C54" w:rsidP="000E3C54">
      <w:pPr>
        <w:pStyle w:val="a4"/>
      </w:pPr>
      <w:r>
        <w:rPr>
          <w:color w:val="000000"/>
        </w:rPr>
        <w:t>3.3. Собственник обязан заключить договор на техническое обслуживание жилого помещения с жилищно-эксплуатационной организацией.</w:t>
      </w:r>
      <w:bookmarkStart w:id="0" w:name="_GoBack"/>
      <w:bookmarkEnd w:id="0"/>
    </w:p>
    <w:sectPr w:rsidR="000E3C54" w:rsidSect="000E3C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02"/>
    <w:rsid w:val="000E3C54"/>
    <w:rsid w:val="00105E58"/>
    <w:rsid w:val="003610AC"/>
    <w:rsid w:val="00583C53"/>
    <w:rsid w:val="005F26EF"/>
    <w:rsid w:val="00646C08"/>
    <w:rsid w:val="007124CF"/>
    <w:rsid w:val="00786DB7"/>
    <w:rsid w:val="007F6CEC"/>
    <w:rsid w:val="008B26A6"/>
    <w:rsid w:val="00CA6CAC"/>
    <w:rsid w:val="00D35002"/>
    <w:rsid w:val="00E2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C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3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C54"/>
    <w:rPr>
      <w:b/>
      <w:bCs/>
    </w:rPr>
  </w:style>
  <w:style w:type="table" w:styleId="a6">
    <w:name w:val="Table Grid"/>
    <w:basedOn w:val="a1"/>
    <w:uiPriority w:val="59"/>
    <w:rsid w:val="000E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D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C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3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C54"/>
    <w:rPr>
      <w:b/>
      <w:bCs/>
    </w:rPr>
  </w:style>
  <w:style w:type="table" w:styleId="a6">
    <w:name w:val="Table Grid"/>
    <w:basedOn w:val="a1"/>
    <w:uiPriority w:val="59"/>
    <w:rsid w:val="000E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D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0E6547C374BAE1226E684C5C10F90A724AECB2515E3DDAF97D0CA0FRBj4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49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ltovo-kmr.ru/2013/02/%D1%80%D0%B5%D1%88%D0%B5%D0%BD%D0%B8%D0%B5-%D0%BE%D1%82-15-02-2013%D0%B3-%E2%84%9671-%D0%BE%D0%B1-%D1%83%D1%82%D0%B2%D0%B5%D1%80%D0%B6%D0%B4%D0%B5%D0%BD%D0%B8%D0%B8-%D0%BF%D0%BE%D0%BB%D0%BE%D0%B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ltovo-kmr.ru/2013/02/%D1%80%D0%B5%D1%88%D0%B5%D0%BD%D0%B8%D0%B5-%D0%BE%D1%82-15-02-2013%D0%B3-%E2%84%9671-%D0%BE%D0%B1-%D1%83%D1%82%D0%B2%D0%B5%D1%80%D0%B6%D0%B4%D0%B5%D0%BD%D0%B8%D0%B8-%D0%BF%D0%BE%D0%BB%D0%BE%D0%B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F0E6547C374BAE1226E684C5C10F90A725A4CB2514E3DDAF97D0CA0FRBj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2016-01-18T04:49:00Z</cp:lastPrinted>
  <dcterms:created xsi:type="dcterms:W3CDTF">2016-01-15T00:48:00Z</dcterms:created>
  <dcterms:modified xsi:type="dcterms:W3CDTF">2016-01-18T04:49:00Z</dcterms:modified>
</cp:coreProperties>
</file>